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1431E" w14:textId="30064FD9" w:rsidR="00354AAF" w:rsidRPr="0022331C" w:rsidRDefault="00044723" w:rsidP="00354AAF">
      <w:pPr>
        <w:jc w:val="right"/>
        <w:rPr>
          <w:lang w:val="lt-LT"/>
        </w:rPr>
      </w:pPr>
      <w:r w:rsidRPr="0022331C">
        <w:rPr>
          <w:lang w:val="lt-LT"/>
        </w:rPr>
        <w:t>Pirkimo sąlygų 2 priedas ,,Techninė specifikacija”</w:t>
      </w:r>
    </w:p>
    <w:tbl>
      <w:tblPr>
        <w:tblpPr w:leftFromText="180" w:rightFromText="180" w:vertAnchor="text" w:horzAnchor="margin" w:tblpXSpec="center" w:tblpY="89"/>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8356"/>
      </w:tblGrid>
      <w:tr w:rsidR="00837EBE" w:rsidRPr="00491957" w14:paraId="2EEDA3F4" w14:textId="77777777" w:rsidTr="00022419">
        <w:trPr>
          <w:trHeight w:val="379"/>
        </w:trPr>
        <w:tc>
          <w:tcPr>
            <w:tcW w:w="9067" w:type="dxa"/>
            <w:gridSpan w:val="2"/>
            <w:shd w:val="clear" w:color="000000" w:fill="D0CECE"/>
            <w:noWrap/>
            <w:vAlign w:val="bottom"/>
            <w:hideMark/>
          </w:tcPr>
          <w:p w14:paraId="059B3930" w14:textId="77777777" w:rsidR="00837EBE" w:rsidRPr="00491957" w:rsidRDefault="00837EBE" w:rsidP="000B0FBD">
            <w:pPr>
              <w:jc w:val="center"/>
              <w:rPr>
                <w:rFonts w:eastAsia="Times New Roman"/>
                <w:b/>
                <w:bCs/>
                <w:sz w:val="22"/>
                <w:lang w:val="lt-LT"/>
              </w:rPr>
            </w:pPr>
            <w:r w:rsidRPr="00491957">
              <w:rPr>
                <w:rFonts w:eastAsia="Times New Roman"/>
                <w:b/>
                <w:bCs/>
                <w:sz w:val="22"/>
                <w:lang w:val="lt-LT"/>
              </w:rPr>
              <w:t>TECHNINĖ SPECIFIKACIJA</w:t>
            </w:r>
          </w:p>
        </w:tc>
      </w:tr>
      <w:tr w:rsidR="00837EBE" w:rsidRPr="00491957" w14:paraId="6EE0086A" w14:textId="77777777" w:rsidTr="00022419">
        <w:trPr>
          <w:trHeight w:val="360"/>
        </w:trPr>
        <w:tc>
          <w:tcPr>
            <w:tcW w:w="711" w:type="dxa"/>
            <w:shd w:val="clear" w:color="auto" w:fill="auto"/>
            <w:vAlign w:val="bottom"/>
            <w:hideMark/>
          </w:tcPr>
          <w:p w14:paraId="6DB7A659" w14:textId="77777777" w:rsidR="00837EBE" w:rsidRPr="00491957" w:rsidRDefault="00837EBE" w:rsidP="000B0FBD">
            <w:pPr>
              <w:rPr>
                <w:rFonts w:eastAsia="Times New Roman"/>
                <w:b/>
                <w:bCs/>
                <w:sz w:val="22"/>
                <w:lang w:val="lt-LT"/>
              </w:rPr>
            </w:pPr>
            <w:r w:rsidRPr="00491957">
              <w:rPr>
                <w:rFonts w:eastAsia="Times New Roman"/>
                <w:b/>
                <w:bCs/>
                <w:sz w:val="22"/>
                <w:lang w:val="lt-LT"/>
              </w:rPr>
              <w:t>Nr.</w:t>
            </w:r>
          </w:p>
        </w:tc>
        <w:tc>
          <w:tcPr>
            <w:tcW w:w="8356" w:type="dxa"/>
            <w:shd w:val="clear" w:color="auto" w:fill="auto"/>
            <w:vAlign w:val="bottom"/>
            <w:hideMark/>
          </w:tcPr>
          <w:p w14:paraId="397594F3" w14:textId="77777777" w:rsidR="00837EBE" w:rsidRPr="00491957" w:rsidRDefault="00837EBE" w:rsidP="000B0FBD">
            <w:pPr>
              <w:rPr>
                <w:rFonts w:eastAsia="Times New Roman"/>
                <w:b/>
                <w:bCs/>
                <w:sz w:val="22"/>
                <w:lang w:val="lt-LT"/>
              </w:rPr>
            </w:pPr>
            <w:r w:rsidRPr="00491957">
              <w:rPr>
                <w:rFonts w:eastAsia="Times New Roman"/>
                <w:b/>
                <w:bCs/>
                <w:sz w:val="22"/>
                <w:lang w:val="lt-LT"/>
              </w:rPr>
              <w:t>Pavadinimas</w:t>
            </w:r>
          </w:p>
        </w:tc>
      </w:tr>
      <w:tr w:rsidR="00837EBE" w:rsidRPr="00491957" w14:paraId="2CD5D4BD" w14:textId="77777777" w:rsidTr="00022419">
        <w:trPr>
          <w:trHeight w:val="285"/>
        </w:trPr>
        <w:tc>
          <w:tcPr>
            <w:tcW w:w="711" w:type="dxa"/>
            <w:shd w:val="clear" w:color="auto" w:fill="auto"/>
            <w:vAlign w:val="bottom"/>
            <w:hideMark/>
          </w:tcPr>
          <w:p w14:paraId="23AFB80E" w14:textId="77777777" w:rsidR="00837EBE" w:rsidRPr="00491957" w:rsidRDefault="00837EBE" w:rsidP="000B0FBD">
            <w:pPr>
              <w:rPr>
                <w:rFonts w:eastAsia="Times New Roman"/>
                <w:b/>
                <w:bCs/>
                <w:sz w:val="22"/>
                <w:lang w:val="lt-LT"/>
              </w:rPr>
            </w:pPr>
            <w:r w:rsidRPr="00491957">
              <w:rPr>
                <w:rFonts w:eastAsia="Times New Roman"/>
                <w:b/>
                <w:bCs/>
                <w:sz w:val="22"/>
                <w:lang w:val="lt-LT"/>
              </w:rPr>
              <w:t>1.1.</w:t>
            </w:r>
          </w:p>
        </w:tc>
        <w:tc>
          <w:tcPr>
            <w:tcW w:w="8356" w:type="dxa"/>
            <w:shd w:val="clear" w:color="auto" w:fill="auto"/>
            <w:vAlign w:val="bottom"/>
            <w:hideMark/>
          </w:tcPr>
          <w:p w14:paraId="2734BA25" w14:textId="77777777" w:rsidR="00837EBE" w:rsidRPr="00491957" w:rsidRDefault="00837EBE" w:rsidP="000B0FBD">
            <w:pPr>
              <w:rPr>
                <w:rFonts w:eastAsia="Times New Roman"/>
                <w:b/>
                <w:bCs/>
                <w:sz w:val="22"/>
                <w:lang w:val="lt-LT"/>
              </w:rPr>
            </w:pPr>
            <w:r w:rsidRPr="00491957">
              <w:rPr>
                <w:rFonts w:eastAsia="Times New Roman"/>
                <w:b/>
                <w:bCs/>
                <w:sz w:val="22"/>
                <w:lang w:val="lt-LT"/>
              </w:rPr>
              <w:t>Pacientų pervežimas automobiliu su pradinio gyvybės palaikymo greitosios medicinos pagalbos brigada</w:t>
            </w:r>
          </w:p>
        </w:tc>
      </w:tr>
      <w:tr w:rsidR="00837EBE" w:rsidRPr="00491957" w14:paraId="1F76E289" w14:textId="77777777" w:rsidTr="00022419">
        <w:trPr>
          <w:trHeight w:val="945"/>
        </w:trPr>
        <w:tc>
          <w:tcPr>
            <w:tcW w:w="711" w:type="dxa"/>
            <w:shd w:val="clear" w:color="auto" w:fill="auto"/>
            <w:vAlign w:val="bottom"/>
            <w:hideMark/>
          </w:tcPr>
          <w:p w14:paraId="224F3273" w14:textId="77777777" w:rsidR="00837EBE" w:rsidRPr="00491957" w:rsidRDefault="00837EBE" w:rsidP="000B0FBD">
            <w:pPr>
              <w:rPr>
                <w:rFonts w:eastAsia="Times New Roman"/>
                <w:sz w:val="22"/>
                <w:lang w:val="lt-LT"/>
              </w:rPr>
            </w:pPr>
            <w:r w:rsidRPr="00491957">
              <w:rPr>
                <w:rFonts w:eastAsia="Times New Roman"/>
                <w:sz w:val="22"/>
                <w:lang w:val="lt-LT"/>
              </w:rPr>
              <w:t>1.1.1.</w:t>
            </w:r>
          </w:p>
        </w:tc>
        <w:tc>
          <w:tcPr>
            <w:tcW w:w="8356" w:type="dxa"/>
            <w:shd w:val="clear" w:color="auto" w:fill="auto"/>
            <w:vAlign w:val="bottom"/>
            <w:hideMark/>
          </w:tcPr>
          <w:p w14:paraId="534F2CCF" w14:textId="77777777" w:rsidR="00837EBE" w:rsidRPr="00491957" w:rsidRDefault="00837EBE" w:rsidP="000B0FBD">
            <w:pPr>
              <w:rPr>
                <w:rFonts w:eastAsia="Times New Roman"/>
                <w:sz w:val="22"/>
                <w:lang w:val="lt-LT"/>
              </w:rPr>
            </w:pPr>
            <w:r w:rsidRPr="00491957">
              <w:rPr>
                <w:rFonts w:eastAsia="Times New Roman"/>
                <w:sz w:val="22"/>
                <w:lang w:val="lt-LT"/>
              </w:rPr>
              <w:t>Pacientų pervežimo greitosios medicinos pagalbos automobiliais Lietuvos teritorijoje paslaugos apima pacientų pervežimo atvejus, iš Perkančiosios organizacijos į kitą asmens sveikatos priežiūros įstaigas (ASPĮ) tolimesniam gydymui, diagnostinėms, gydomosioms procedūroms ar tyrimams atlikti, į namus po stacionarinio gydymo.</w:t>
            </w:r>
          </w:p>
        </w:tc>
      </w:tr>
      <w:tr w:rsidR="00837EBE" w:rsidRPr="00491957" w14:paraId="19ACA713" w14:textId="77777777" w:rsidTr="00022419">
        <w:trPr>
          <w:trHeight w:val="630"/>
        </w:trPr>
        <w:tc>
          <w:tcPr>
            <w:tcW w:w="711" w:type="dxa"/>
            <w:shd w:val="clear" w:color="auto" w:fill="auto"/>
            <w:vAlign w:val="bottom"/>
            <w:hideMark/>
          </w:tcPr>
          <w:p w14:paraId="2EDD5360" w14:textId="77777777" w:rsidR="00837EBE" w:rsidRPr="00491957" w:rsidRDefault="00837EBE" w:rsidP="000B0FBD">
            <w:pPr>
              <w:rPr>
                <w:rFonts w:eastAsia="Times New Roman"/>
                <w:sz w:val="22"/>
                <w:lang w:val="lt-LT"/>
              </w:rPr>
            </w:pPr>
            <w:r w:rsidRPr="00491957">
              <w:rPr>
                <w:rFonts w:eastAsia="Times New Roman"/>
                <w:sz w:val="22"/>
                <w:lang w:val="lt-LT"/>
              </w:rPr>
              <w:t>1.1.2.</w:t>
            </w:r>
          </w:p>
        </w:tc>
        <w:tc>
          <w:tcPr>
            <w:tcW w:w="8356" w:type="dxa"/>
            <w:shd w:val="clear" w:color="auto" w:fill="auto"/>
            <w:vAlign w:val="bottom"/>
            <w:hideMark/>
          </w:tcPr>
          <w:p w14:paraId="7BD446CA" w14:textId="77777777" w:rsidR="00837EBE" w:rsidRPr="00491957" w:rsidRDefault="00837EBE" w:rsidP="000B0FBD">
            <w:pPr>
              <w:rPr>
                <w:rFonts w:eastAsia="Times New Roman"/>
                <w:sz w:val="22"/>
                <w:lang w:val="lt-LT"/>
              </w:rPr>
            </w:pPr>
            <w:r w:rsidRPr="00491957">
              <w:rPr>
                <w:rFonts w:eastAsia="Times New Roman"/>
                <w:sz w:val="22"/>
                <w:lang w:val="lt-LT"/>
              </w:rPr>
              <w:t>Tiekėjas, teikdamas paslaugas, privalo laikytis LR Sveikatos apsaugos ministro 2007 lapkričio 6 d. įsakyme "Greitosios medicinos pagalbos paslaugų teikimo reikalavimai" Nr. V-895 (aktuali redakcija) nustatytų reikalavimų.</w:t>
            </w:r>
          </w:p>
        </w:tc>
      </w:tr>
      <w:tr w:rsidR="00837EBE" w:rsidRPr="00491957" w14:paraId="28B39BAB" w14:textId="77777777" w:rsidTr="00022419">
        <w:trPr>
          <w:trHeight w:val="630"/>
        </w:trPr>
        <w:tc>
          <w:tcPr>
            <w:tcW w:w="711" w:type="dxa"/>
            <w:shd w:val="clear" w:color="auto" w:fill="auto"/>
            <w:vAlign w:val="bottom"/>
            <w:hideMark/>
          </w:tcPr>
          <w:p w14:paraId="0F9248C4" w14:textId="77777777" w:rsidR="00837EBE" w:rsidRPr="00491957" w:rsidRDefault="00837EBE" w:rsidP="000B0FBD">
            <w:pPr>
              <w:rPr>
                <w:rFonts w:eastAsia="Times New Roman"/>
                <w:sz w:val="22"/>
                <w:lang w:val="lt-LT"/>
              </w:rPr>
            </w:pPr>
            <w:r w:rsidRPr="00491957">
              <w:rPr>
                <w:rFonts w:eastAsia="Times New Roman"/>
                <w:sz w:val="22"/>
                <w:lang w:val="lt-LT"/>
              </w:rPr>
              <w:t>1.1.3.</w:t>
            </w:r>
          </w:p>
        </w:tc>
        <w:tc>
          <w:tcPr>
            <w:tcW w:w="8356" w:type="dxa"/>
            <w:shd w:val="clear" w:color="auto" w:fill="auto"/>
            <w:vAlign w:val="bottom"/>
            <w:hideMark/>
          </w:tcPr>
          <w:p w14:paraId="79FE37E7" w14:textId="77777777" w:rsidR="00837EBE" w:rsidRPr="00491957" w:rsidRDefault="00837EBE" w:rsidP="000B0FBD">
            <w:pPr>
              <w:rPr>
                <w:rFonts w:eastAsia="Times New Roman"/>
                <w:sz w:val="22"/>
                <w:lang w:val="lt-LT"/>
              </w:rPr>
            </w:pPr>
            <w:r w:rsidRPr="00491957">
              <w:rPr>
                <w:rFonts w:eastAsia="Times New Roman"/>
                <w:sz w:val="22"/>
                <w:lang w:val="lt-LT"/>
              </w:rPr>
              <w:t>Tiekėjas teikdamas paslaugas, įsipareigoja laikytis teisės aktų reikalavimų, reglamentuojančių GMP brigadų aprūpinimą įranga, GMP automobilių techninę būklę, GMP brigadų sudėtį ir kt., garantuojančių kokybiškų asmens sveikatos priežiūros paslaugų teikimą.</w:t>
            </w:r>
          </w:p>
        </w:tc>
      </w:tr>
      <w:tr w:rsidR="00837EBE" w:rsidRPr="00491957" w14:paraId="784581FD" w14:textId="77777777" w:rsidTr="00022419">
        <w:trPr>
          <w:trHeight w:val="1260"/>
        </w:trPr>
        <w:tc>
          <w:tcPr>
            <w:tcW w:w="711" w:type="dxa"/>
            <w:shd w:val="clear" w:color="auto" w:fill="auto"/>
            <w:vAlign w:val="bottom"/>
            <w:hideMark/>
          </w:tcPr>
          <w:p w14:paraId="0D67C79D" w14:textId="77777777" w:rsidR="00837EBE" w:rsidRPr="00491957" w:rsidRDefault="00837EBE" w:rsidP="000B0FBD">
            <w:pPr>
              <w:rPr>
                <w:rFonts w:eastAsia="Times New Roman"/>
                <w:sz w:val="22"/>
                <w:lang w:val="lt-LT"/>
              </w:rPr>
            </w:pPr>
            <w:r w:rsidRPr="00491957">
              <w:rPr>
                <w:rFonts w:eastAsia="Times New Roman"/>
                <w:sz w:val="22"/>
                <w:lang w:val="lt-LT"/>
              </w:rPr>
              <w:t>1.1.4.</w:t>
            </w:r>
          </w:p>
        </w:tc>
        <w:tc>
          <w:tcPr>
            <w:tcW w:w="8356" w:type="dxa"/>
            <w:shd w:val="clear" w:color="auto" w:fill="auto"/>
            <w:vAlign w:val="bottom"/>
            <w:hideMark/>
          </w:tcPr>
          <w:p w14:paraId="6161995D" w14:textId="77777777" w:rsidR="00837EBE" w:rsidRPr="00491957" w:rsidRDefault="00837EBE" w:rsidP="000B0FBD">
            <w:pPr>
              <w:rPr>
                <w:rFonts w:eastAsia="Times New Roman"/>
                <w:sz w:val="22"/>
                <w:lang w:val="lt-LT"/>
              </w:rPr>
            </w:pPr>
            <w:r w:rsidRPr="00491957">
              <w:rPr>
                <w:rFonts w:eastAsia="Times New Roman"/>
                <w:sz w:val="22"/>
                <w:lang w:val="lt-LT"/>
              </w:rPr>
              <w:t>Tiekėjo automobiliai privalo atitikti 2003 m. liepos 11 d. įsakymu Nr. V-673 ,,Dėl privalomų medicinos prietaisų, vaistų, asmeninių apsaugos priemonių, gelbėjimo ir apsaugos bei ryšio priemonių greitosios medicinos pagalbos transporto priemonėse sąrašo patvirtinimo“ (aktuali redakcija), patvirtintą privalomų medicinos prietaisų, vaistų, asmeninių apsaugos priemonių, gelbėjimo ir apsaugos bei ryšio priemonių greitosios medicinos pagalbos transporto priemonėse sąrašą, kuris taikomas GMP automobiliams</w:t>
            </w:r>
          </w:p>
        </w:tc>
      </w:tr>
      <w:tr w:rsidR="00837EBE" w:rsidRPr="00491957" w14:paraId="740EB42B" w14:textId="77777777" w:rsidTr="00022419">
        <w:trPr>
          <w:trHeight w:val="427"/>
        </w:trPr>
        <w:tc>
          <w:tcPr>
            <w:tcW w:w="711" w:type="dxa"/>
            <w:shd w:val="clear" w:color="auto" w:fill="auto"/>
            <w:vAlign w:val="bottom"/>
            <w:hideMark/>
          </w:tcPr>
          <w:p w14:paraId="1D98B4C2" w14:textId="77777777" w:rsidR="00837EBE" w:rsidRPr="00491957" w:rsidRDefault="00837EBE" w:rsidP="000B0FBD">
            <w:pPr>
              <w:rPr>
                <w:rFonts w:eastAsia="Times New Roman"/>
                <w:sz w:val="22"/>
                <w:lang w:val="lt-LT"/>
              </w:rPr>
            </w:pPr>
            <w:r w:rsidRPr="00491957">
              <w:rPr>
                <w:rFonts w:eastAsia="Times New Roman"/>
                <w:sz w:val="22"/>
                <w:lang w:val="lt-LT"/>
              </w:rPr>
              <w:t>1.1.5.</w:t>
            </w:r>
          </w:p>
        </w:tc>
        <w:tc>
          <w:tcPr>
            <w:tcW w:w="8356" w:type="dxa"/>
            <w:shd w:val="clear" w:color="auto" w:fill="auto"/>
            <w:vAlign w:val="bottom"/>
            <w:hideMark/>
          </w:tcPr>
          <w:p w14:paraId="065B350C" w14:textId="77777777" w:rsidR="00837EBE" w:rsidRPr="00491957" w:rsidRDefault="00837EBE" w:rsidP="000B0FBD">
            <w:pPr>
              <w:rPr>
                <w:rFonts w:eastAsia="Times New Roman"/>
                <w:sz w:val="22"/>
                <w:lang w:val="lt-LT"/>
              </w:rPr>
            </w:pPr>
            <w:r w:rsidRPr="00491957">
              <w:rPr>
                <w:rFonts w:eastAsia="Times New Roman"/>
                <w:sz w:val="22"/>
                <w:lang w:val="lt-LT"/>
              </w:rPr>
              <w:t xml:space="preserve">Paslaugos turi būti teikiamos, </w:t>
            </w:r>
            <w:proofErr w:type="spellStart"/>
            <w:r w:rsidRPr="00491957">
              <w:rPr>
                <w:rFonts w:eastAsia="Times New Roman"/>
                <w:sz w:val="22"/>
                <w:lang w:val="lt-LT"/>
              </w:rPr>
              <w:t>t.y</w:t>
            </w:r>
            <w:proofErr w:type="spellEnd"/>
            <w:r w:rsidRPr="00491957">
              <w:rPr>
                <w:rFonts w:eastAsia="Times New Roman"/>
                <w:sz w:val="22"/>
                <w:lang w:val="lt-LT"/>
              </w:rPr>
              <w:t>. pacientai vežami iš Perkančiosios organizacijos padalinių 24 val. per parą, 7 dienas per savaitę, darbo ir poilsio dienomis.</w:t>
            </w:r>
          </w:p>
        </w:tc>
      </w:tr>
      <w:tr w:rsidR="00837EBE" w:rsidRPr="00491957" w14:paraId="6C221D75" w14:textId="77777777" w:rsidTr="00022419">
        <w:trPr>
          <w:trHeight w:val="315"/>
        </w:trPr>
        <w:tc>
          <w:tcPr>
            <w:tcW w:w="711" w:type="dxa"/>
            <w:shd w:val="clear" w:color="auto" w:fill="auto"/>
            <w:vAlign w:val="bottom"/>
            <w:hideMark/>
          </w:tcPr>
          <w:p w14:paraId="7322D944" w14:textId="77777777" w:rsidR="00837EBE" w:rsidRPr="00491957" w:rsidRDefault="00837EBE" w:rsidP="000B0FBD">
            <w:pPr>
              <w:rPr>
                <w:rFonts w:eastAsia="Times New Roman"/>
                <w:b/>
                <w:bCs/>
                <w:sz w:val="22"/>
                <w:lang w:val="lt-LT"/>
              </w:rPr>
            </w:pPr>
            <w:r w:rsidRPr="00491957">
              <w:rPr>
                <w:rFonts w:eastAsia="Times New Roman"/>
                <w:b/>
                <w:bCs/>
                <w:sz w:val="22"/>
                <w:lang w:val="lt-LT"/>
              </w:rPr>
              <w:t>1.2.</w:t>
            </w:r>
          </w:p>
        </w:tc>
        <w:tc>
          <w:tcPr>
            <w:tcW w:w="8356" w:type="dxa"/>
            <w:shd w:val="clear" w:color="auto" w:fill="auto"/>
            <w:vAlign w:val="bottom"/>
            <w:hideMark/>
          </w:tcPr>
          <w:p w14:paraId="1AF60B74" w14:textId="77777777" w:rsidR="00837EBE" w:rsidRPr="00491957" w:rsidRDefault="00837EBE" w:rsidP="000B0FBD">
            <w:pPr>
              <w:rPr>
                <w:rFonts w:eastAsia="Times New Roman"/>
                <w:b/>
                <w:bCs/>
                <w:sz w:val="22"/>
                <w:lang w:val="lt-LT"/>
              </w:rPr>
            </w:pPr>
            <w:r w:rsidRPr="00491957">
              <w:rPr>
                <w:rFonts w:eastAsia="Times New Roman"/>
                <w:b/>
                <w:bCs/>
                <w:sz w:val="22"/>
                <w:lang w:val="lt-LT"/>
              </w:rPr>
              <w:t>Pacientų pervežimas automobiliu su pažangaus gyvybės palaikymo greitosios medicinos brigada</w:t>
            </w:r>
          </w:p>
        </w:tc>
      </w:tr>
      <w:tr w:rsidR="00837EBE" w:rsidRPr="00491957" w14:paraId="7E5A0AAF" w14:textId="77777777" w:rsidTr="00022419">
        <w:trPr>
          <w:trHeight w:val="945"/>
        </w:trPr>
        <w:tc>
          <w:tcPr>
            <w:tcW w:w="711" w:type="dxa"/>
            <w:shd w:val="clear" w:color="auto" w:fill="auto"/>
            <w:vAlign w:val="bottom"/>
            <w:hideMark/>
          </w:tcPr>
          <w:p w14:paraId="73D0F3CF" w14:textId="77777777" w:rsidR="00837EBE" w:rsidRPr="00491957" w:rsidRDefault="00837EBE" w:rsidP="000B0FBD">
            <w:pPr>
              <w:rPr>
                <w:rFonts w:eastAsia="Times New Roman"/>
                <w:sz w:val="22"/>
                <w:lang w:val="lt-LT"/>
              </w:rPr>
            </w:pPr>
            <w:r w:rsidRPr="00491957">
              <w:rPr>
                <w:rFonts w:eastAsia="Times New Roman"/>
                <w:sz w:val="22"/>
                <w:lang w:val="lt-LT"/>
              </w:rPr>
              <w:t>1.2.1.</w:t>
            </w:r>
          </w:p>
        </w:tc>
        <w:tc>
          <w:tcPr>
            <w:tcW w:w="8356" w:type="dxa"/>
            <w:shd w:val="clear" w:color="auto" w:fill="auto"/>
            <w:vAlign w:val="bottom"/>
            <w:hideMark/>
          </w:tcPr>
          <w:p w14:paraId="32263207" w14:textId="77777777" w:rsidR="00837EBE" w:rsidRPr="00491957" w:rsidRDefault="00837EBE" w:rsidP="000B0FBD">
            <w:pPr>
              <w:rPr>
                <w:rFonts w:eastAsia="Times New Roman"/>
                <w:sz w:val="22"/>
                <w:lang w:val="lt-LT"/>
              </w:rPr>
            </w:pPr>
            <w:r w:rsidRPr="00491957">
              <w:rPr>
                <w:rFonts w:eastAsia="Times New Roman"/>
                <w:sz w:val="22"/>
                <w:lang w:val="lt-LT"/>
              </w:rPr>
              <w:t>Pacientų pervežimo greitosios medicinos pagalbos automobiliais Lietuvos teritorijoje paslaugos apima pacientų pervežimo atvejus, iš Perkančiosios organizacijos į kitą asmens sveikatos priežiūros įstaigas (ASPĮ) tolimesniam gydymui, diagnostinėms, gydomosioms procedūroms ar tyrimams atlikti, į namus po stacionarinio gydymo.</w:t>
            </w:r>
          </w:p>
        </w:tc>
      </w:tr>
      <w:tr w:rsidR="00837EBE" w:rsidRPr="00491957" w14:paraId="48E00DD8" w14:textId="77777777" w:rsidTr="00022419">
        <w:trPr>
          <w:trHeight w:val="630"/>
        </w:trPr>
        <w:tc>
          <w:tcPr>
            <w:tcW w:w="711" w:type="dxa"/>
            <w:shd w:val="clear" w:color="auto" w:fill="auto"/>
            <w:vAlign w:val="bottom"/>
            <w:hideMark/>
          </w:tcPr>
          <w:p w14:paraId="5F58DB1A" w14:textId="77777777" w:rsidR="00837EBE" w:rsidRPr="00491957" w:rsidRDefault="00837EBE" w:rsidP="000B0FBD">
            <w:pPr>
              <w:rPr>
                <w:rFonts w:eastAsia="Times New Roman"/>
                <w:sz w:val="22"/>
                <w:lang w:val="lt-LT"/>
              </w:rPr>
            </w:pPr>
            <w:r w:rsidRPr="00491957">
              <w:rPr>
                <w:rFonts w:eastAsia="Times New Roman"/>
                <w:sz w:val="22"/>
                <w:lang w:val="lt-LT"/>
              </w:rPr>
              <w:t>1.2.2.</w:t>
            </w:r>
          </w:p>
        </w:tc>
        <w:tc>
          <w:tcPr>
            <w:tcW w:w="8356" w:type="dxa"/>
            <w:shd w:val="clear" w:color="auto" w:fill="auto"/>
            <w:vAlign w:val="bottom"/>
            <w:hideMark/>
          </w:tcPr>
          <w:p w14:paraId="6EDA5447" w14:textId="77777777" w:rsidR="00837EBE" w:rsidRPr="00491957" w:rsidRDefault="00837EBE" w:rsidP="000B0FBD">
            <w:pPr>
              <w:rPr>
                <w:rFonts w:eastAsia="Times New Roman"/>
                <w:sz w:val="22"/>
                <w:lang w:val="lt-LT"/>
              </w:rPr>
            </w:pPr>
            <w:r w:rsidRPr="00491957">
              <w:rPr>
                <w:rFonts w:eastAsia="Times New Roman"/>
                <w:sz w:val="22"/>
                <w:lang w:val="lt-LT"/>
              </w:rPr>
              <w:t>Tiekėjas, teikdamas paslaugas, privalo laikytis LR Sveikatos apsaugos ministro 2007 lapkričio 6 d. įsakyme "Greitosios medicinos pagalbos paslaugų teikimo reikalavimai" Nr. V-895 (aktuali redakcija) nustatytų reikalavimų.</w:t>
            </w:r>
          </w:p>
        </w:tc>
      </w:tr>
      <w:tr w:rsidR="00837EBE" w:rsidRPr="00491957" w14:paraId="2A7DB899" w14:textId="77777777" w:rsidTr="00022419">
        <w:trPr>
          <w:trHeight w:val="630"/>
        </w:trPr>
        <w:tc>
          <w:tcPr>
            <w:tcW w:w="711" w:type="dxa"/>
            <w:shd w:val="clear" w:color="auto" w:fill="auto"/>
            <w:vAlign w:val="bottom"/>
            <w:hideMark/>
          </w:tcPr>
          <w:p w14:paraId="56800098" w14:textId="77777777" w:rsidR="00837EBE" w:rsidRPr="00491957" w:rsidRDefault="00837EBE" w:rsidP="000B0FBD">
            <w:pPr>
              <w:rPr>
                <w:rFonts w:eastAsia="Times New Roman"/>
                <w:sz w:val="22"/>
                <w:lang w:val="lt-LT"/>
              </w:rPr>
            </w:pPr>
            <w:r w:rsidRPr="00491957">
              <w:rPr>
                <w:rFonts w:eastAsia="Times New Roman"/>
                <w:sz w:val="22"/>
                <w:lang w:val="lt-LT"/>
              </w:rPr>
              <w:t>1.2.3.</w:t>
            </w:r>
          </w:p>
        </w:tc>
        <w:tc>
          <w:tcPr>
            <w:tcW w:w="8356" w:type="dxa"/>
            <w:shd w:val="clear" w:color="auto" w:fill="auto"/>
            <w:vAlign w:val="bottom"/>
            <w:hideMark/>
          </w:tcPr>
          <w:p w14:paraId="07A39AFE" w14:textId="77777777" w:rsidR="00837EBE" w:rsidRPr="00491957" w:rsidRDefault="00837EBE" w:rsidP="000B0FBD">
            <w:pPr>
              <w:rPr>
                <w:rFonts w:eastAsia="Times New Roman"/>
                <w:sz w:val="22"/>
                <w:lang w:val="lt-LT"/>
              </w:rPr>
            </w:pPr>
            <w:r w:rsidRPr="00491957">
              <w:rPr>
                <w:rFonts w:eastAsia="Times New Roman"/>
                <w:sz w:val="22"/>
                <w:lang w:val="lt-LT"/>
              </w:rPr>
              <w:t>Tiekėjas teikdamas paslaugas, įsipareigoja laikytis teisės aktų reikalavimų, reglamentuojančių GMP brigadų aprūpinimą įranga, GMP automobilių techninę būklę, GMP brigadų sudėtį ir kt., garantuojančių kokybiškų asmens sveikatos priežiūros paslaugų teikimą.</w:t>
            </w:r>
          </w:p>
        </w:tc>
      </w:tr>
      <w:tr w:rsidR="00837EBE" w:rsidRPr="00491957" w14:paraId="2B33B00F" w14:textId="77777777" w:rsidTr="00022419">
        <w:trPr>
          <w:trHeight w:val="1260"/>
        </w:trPr>
        <w:tc>
          <w:tcPr>
            <w:tcW w:w="711" w:type="dxa"/>
            <w:shd w:val="clear" w:color="auto" w:fill="auto"/>
            <w:vAlign w:val="bottom"/>
            <w:hideMark/>
          </w:tcPr>
          <w:p w14:paraId="341F9382" w14:textId="77777777" w:rsidR="00837EBE" w:rsidRPr="00491957" w:rsidRDefault="00837EBE" w:rsidP="000B0FBD">
            <w:pPr>
              <w:rPr>
                <w:rFonts w:eastAsia="Times New Roman"/>
                <w:sz w:val="22"/>
                <w:lang w:val="lt-LT"/>
              </w:rPr>
            </w:pPr>
            <w:r w:rsidRPr="00491957">
              <w:rPr>
                <w:rFonts w:eastAsia="Times New Roman"/>
                <w:sz w:val="22"/>
                <w:lang w:val="lt-LT"/>
              </w:rPr>
              <w:t>1.2.4.</w:t>
            </w:r>
          </w:p>
        </w:tc>
        <w:tc>
          <w:tcPr>
            <w:tcW w:w="8356" w:type="dxa"/>
            <w:shd w:val="clear" w:color="auto" w:fill="auto"/>
            <w:vAlign w:val="bottom"/>
            <w:hideMark/>
          </w:tcPr>
          <w:p w14:paraId="3A6AB878" w14:textId="77777777" w:rsidR="00837EBE" w:rsidRPr="00491957" w:rsidRDefault="00837EBE" w:rsidP="000B0FBD">
            <w:pPr>
              <w:rPr>
                <w:rFonts w:eastAsia="Times New Roman"/>
                <w:sz w:val="22"/>
                <w:lang w:val="lt-LT"/>
              </w:rPr>
            </w:pPr>
            <w:r w:rsidRPr="00491957">
              <w:rPr>
                <w:rFonts w:eastAsia="Times New Roman"/>
                <w:sz w:val="22"/>
                <w:lang w:val="lt-LT"/>
              </w:rPr>
              <w:t>Tiekėjo automobiliai privalo atitikti 2003 m. liepos 11 d. įsakymu Nr. V-673 ,,Dėl privalomų medicinos prietaisų, vaistų, asmeninių apsaugos priemonių, gelbėjimo ir apsaugos bei ryšio priemonių greitosios medicinos pagalbos transporto priemonėse sąrašo patvirtinimo“ (aktuali redakcija), patvirtintą privalomų medicinos prietaisų, vaistų, asmeninių apsaugos priemonių, gelbėjimo ir apsaugos bei ryšio priemonių greitosios medicinos pagalbos transporto priemonėse sąrašą, kuris taikomas GMP automobiliams</w:t>
            </w:r>
          </w:p>
        </w:tc>
      </w:tr>
    </w:tbl>
    <w:p w14:paraId="58C63EF0" w14:textId="1B862AB1" w:rsidR="00837EBE" w:rsidRDefault="00354AAF" w:rsidP="00354AAF">
      <w:pPr>
        <w:jc w:val="center"/>
      </w:pPr>
      <w:r>
        <w:t>_____________________</w:t>
      </w:r>
    </w:p>
    <w:sectPr w:rsidR="00837EBE" w:rsidSect="00354AAF">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EBE"/>
    <w:rsid w:val="00022419"/>
    <w:rsid w:val="00044723"/>
    <w:rsid w:val="0022331C"/>
    <w:rsid w:val="00354AAF"/>
    <w:rsid w:val="00491957"/>
    <w:rsid w:val="00600B6B"/>
    <w:rsid w:val="00837EBE"/>
    <w:rsid w:val="0087712B"/>
    <w:rsid w:val="00FF26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70A08"/>
  <w15:chartTrackingRefBased/>
  <w15:docId w15:val="{5AD4D555-931B-47A3-80F5-4F2BB043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37EBE"/>
    <w:pPr>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imes New Roman"/>
      <w:kern w:val="0"/>
      <w:lang w:val="en-US" w:eastAsia="zh-CN"/>
      <w14:ligatures w14:val="none"/>
    </w:rPr>
  </w:style>
  <w:style w:type="paragraph" w:styleId="Antrat1">
    <w:name w:val="heading 1"/>
    <w:basedOn w:val="prastasis"/>
    <w:next w:val="prastasis"/>
    <w:link w:val="Antrat1Diagrama"/>
    <w:uiPriority w:val="9"/>
    <w:qFormat/>
    <w:rsid w:val="00837EBE"/>
    <w:pPr>
      <w:keepNext/>
      <w:keepLines/>
      <w:pBdr>
        <w:top w:val="none" w:sz="0" w:space="0" w:color="auto"/>
        <w:left w:val="none" w:sz="0" w:space="0" w:color="auto"/>
        <w:bottom w:val="none" w:sz="0" w:space="0" w:color="auto"/>
        <w:right w:val="none" w:sz="0" w:space="0" w:color="auto"/>
      </w:pBdr>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lt-LT" w:eastAsia="en-US"/>
      <w14:ligatures w14:val="standardContextual"/>
    </w:rPr>
  </w:style>
  <w:style w:type="paragraph" w:styleId="Antrat2">
    <w:name w:val="heading 2"/>
    <w:basedOn w:val="prastasis"/>
    <w:next w:val="prastasis"/>
    <w:link w:val="Antrat2Diagrama"/>
    <w:uiPriority w:val="9"/>
    <w:semiHidden/>
    <w:unhideWhenUsed/>
    <w:qFormat/>
    <w:rsid w:val="00837EBE"/>
    <w:pPr>
      <w:keepNext/>
      <w:keepLines/>
      <w:pBdr>
        <w:top w:val="none" w:sz="0" w:space="0" w:color="auto"/>
        <w:left w:val="none" w:sz="0" w:space="0" w:color="auto"/>
        <w:bottom w:val="none" w:sz="0" w:space="0" w:color="auto"/>
        <w:right w:val="none" w:sz="0" w:space="0" w:color="auto"/>
      </w:pBdr>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lt-LT" w:eastAsia="en-US"/>
      <w14:ligatures w14:val="standardContextual"/>
    </w:rPr>
  </w:style>
  <w:style w:type="paragraph" w:styleId="Antrat3">
    <w:name w:val="heading 3"/>
    <w:basedOn w:val="prastasis"/>
    <w:next w:val="prastasis"/>
    <w:link w:val="Antrat3Diagrama"/>
    <w:uiPriority w:val="9"/>
    <w:semiHidden/>
    <w:unhideWhenUsed/>
    <w:qFormat/>
    <w:rsid w:val="00837EBE"/>
    <w:pPr>
      <w:keepNext/>
      <w:keepLines/>
      <w:pBdr>
        <w:top w:val="none" w:sz="0" w:space="0" w:color="auto"/>
        <w:left w:val="none" w:sz="0" w:space="0" w:color="auto"/>
        <w:bottom w:val="none" w:sz="0" w:space="0" w:color="auto"/>
        <w:right w:val="none" w:sz="0" w:space="0" w:color="auto"/>
      </w:pBdr>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lt-LT" w:eastAsia="en-US"/>
      <w14:ligatures w14:val="standardContextual"/>
    </w:rPr>
  </w:style>
  <w:style w:type="paragraph" w:styleId="Antrat4">
    <w:name w:val="heading 4"/>
    <w:basedOn w:val="prastasis"/>
    <w:next w:val="prastasis"/>
    <w:link w:val="Antrat4Diagrama"/>
    <w:uiPriority w:val="9"/>
    <w:semiHidden/>
    <w:unhideWhenUsed/>
    <w:qFormat/>
    <w:rsid w:val="00837EBE"/>
    <w:pPr>
      <w:keepNext/>
      <w:keepLines/>
      <w:pBdr>
        <w:top w:val="none" w:sz="0" w:space="0" w:color="auto"/>
        <w:left w:val="none" w:sz="0" w:space="0" w:color="auto"/>
        <w:bottom w:val="none" w:sz="0" w:space="0" w:color="auto"/>
        <w:right w:val="none" w:sz="0" w:space="0" w:color="auto"/>
      </w:pBdr>
      <w:suppressAutoHyphens w:val="0"/>
      <w:spacing w:before="80" w:after="40" w:line="278" w:lineRule="auto"/>
      <w:outlineLvl w:val="3"/>
    </w:pPr>
    <w:rPr>
      <w:rFonts w:asciiTheme="minorHAnsi" w:eastAsiaTheme="majorEastAsia" w:hAnsiTheme="minorHAnsi" w:cstheme="majorBidi"/>
      <w:i/>
      <w:iCs/>
      <w:color w:val="0F4761" w:themeColor="accent1" w:themeShade="BF"/>
      <w:kern w:val="2"/>
      <w:lang w:val="lt-LT" w:eastAsia="en-US"/>
      <w14:ligatures w14:val="standardContextual"/>
    </w:rPr>
  </w:style>
  <w:style w:type="paragraph" w:styleId="Antrat5">
    <w:name w:val="heading 5"/>
    <w:basedOn w:val="prastasis"/>
    <w:next w:val="prastasis"/>
    <w:link w:val="Antrat5Diagrama"/>
    <w:uiPriority w:val="9"/>
    <w:semiHidden/>
    <w:unhideWhenUsed/>
    <w:qFormat/>
    <w:rsid w:val="00837EBE"/>
    <w:pPr>
      <w:keepNext/>
      <w:keepLines/>
      <w:pBdr>
        <w:top w:val="none" w:sz="0" w:space="0" w:color="auto"/>
        <w:left w:val="none" w:sz="0" w:space="0" w:color="auto"/>
        <w:bottom w:val="none" w:sz="0" w:space="0" w:color="auto"/>
        <w:right w:val="none" w:sz="0" w:space="0" w:color="auto"/>
      </w:pBdr>
      <w:suppressAutoHyphens w:val="0"/>
      <w:spacing w:before="80" w:after="40" w:line="278" w:lineRule="auto"/>
      <w:outlineLvl w:val="4"/>
    </w:pPr>
    <w:rPr>
      <w:rFonts w:asciiTheme="minorHAnsi" w:eastAsiaTheme="majorEastAsia" w:hAnsiTheme="minorHAnsi" w:cstheme="majorBidi"/>
      <w:color w:val="0F4761" w:themeColor="accent1" w:themeShade="BF"/>
      <w:kern w:val="2"/>
      <w:lang w:val="lt-LT" w:eastAsia="en-US"/>
      <w14:ligatures w14:val="standardContextual"/>
    </w:rPr>
  </w:style>
  <w:style w:type="paragraph" w:styleId="Antrat6">
    <w:name w:val="heading 6"/>
    <w:basedOn w:val="prastasis"/>
    <w:next w:val="prastasis"/>
    <w:link w:val="Antrat6Diagrama"/>
    <w:uiPriority w:val="9"/>
    <w:semiHidden/>
    <w:unhideWhenUsed/>
    <w:qFormat/>
    <w:rsid w:val="00837EBE"/>
    <w:pPr>
      <w:keepNext/>
      <w:keepLines/>
      <w:pBdr>
        <w:top w:val="none" w:sz="0" w:space="0" w:color="auto"/>
        <w:left w:val="none" w:sz="0" w:space="0" w:color="auto"/>
        <w:bottom w:val="none" w:sz="0" w:space="0" w:color="auto"/>
        <w:right w:val="none" w:sz="0" w:space="0" w:color="auto"/>
      </w:pBdr>
      <w:suppressAutoHyphens w:val="0"/>
      <w:spacing w:before="40" w:line="278" w:lineRule="auto"/>
      <w:outlineLvl w:val="5"/>
    </w:pPr>
    <w:rPr>
      <w:rFonts w:asciiTheme="minorHAnsi" w:eastAsiaTheme="majorEastAsia" w:hAnsiTheme="minorHAnsi" w:cstheme="majorBidi"/>
      <w:i/>
      <w:iCs/>
      <w:color w:val="595959" w:themeColor="text1" w:themeTint="A6"/>
      <w:kern w:val="2"/>
      <w:lang w:val="lt-LT" w:eastAsia="en-US"/>
      <w14:ligatures w14:val="standardContextual"/>
    </w:rPr>
  </w:style>
  <w:style w:type="paragraph" w:styleId="Antrat7">
    <w:name w:val="heading 7"/>
    <w:basedOn w:val="prastasis"/>
    <w:next w:val="prastasis"/>
    <w:link w:val="Antrat7Diagrama"/>
    <w:uiPriority w:val="9"/>
    <w:semiHidden/>
    <w:unhideWhenUsed/>
    <w:qFormat/>
    <w:rsid w:val="00837EBE"/>
    <w:pPr>
      <w:keepNext/>
      <w:keepLines/>
      <w:pBdr>
        <w:top w:val="none" w:sz="0" w:space="0" w:color="auto"/>
        <w:left w:val="none" w:sz="0" w:space="0" w:color="auto"/>
        <w:bottom w:val="none" w:sz="0" w:space="0" w:color="auto"/>
        <w:right w:val="none" w:sz="0" w:space="0" w:color="auto"/>
      </w:pBdr>
      <w:suppressAutoHyphens w:val="0"/>
      <w:spacing w:before="40" w:line="278" w:lineRule="auto"/>
      <w:outlineLvl w:val="6"/>
    </w:pPr>
    <w:rPr>
      <w:rFonts w:asciiTheme="minorHAnsi" w:eastAsiaTheme="majorEastAsia" w:hAnsiTheme="minorHAnsi" w:cstheme="majorBidi"/>
      <w:color w:val="595959" w:themeColor="text1" w:themeTint="A6"/>
      <w:kern w:val="2"/>
      <w:lang w:val="lt-LT" w:eastAsia="en-US"/>
      <w14:ligatures w14:val="standardContextual"/>
    </w:rPr>
  </w:style>
  <w:style w:type="paragraph" w:styleId="Antrat8">
    <w:name w:val="heading 8"/>
    <w:basedOn w:val="prastasis"/>
    <w:next w:val="prastasis"/>
    <w:link w:val="Antrat8Diagrama"/>
    <w:uiPriority w:val="9"/>
    <w:semiHidden/>
    <w:unhideWhenUsed/>
    <w:qFormat/>
    <w:rsid w:val="00837EBE"/>
    <w:pPr>
      <w:keepNext/>
      <w:keepLines/>
      <w:pBdr>
        <w:top w:val="none" w:sz="0" w:space="0" w:color="auto"/>
        <w:left w:val="none" w:sz="0" w:space="0" w:color="auto"/>
        <w:bottom w:val="none" w:sz="0" w:space="0" w:color="auto"/>
        <w:right w:val="none" w:sz="0" w:space="0" w:color="auto"/>
      </w:pBdr>
      <w:suppressAutoHyphens w:val="0"/>
      <w:spacing w:line="278" w:lineRule="auto"/>
      <w:outlineLvl w:val="7"/>
    </w:pPr>
    <w:rPr>
      <w:rFonts w:asciiTheme="minorHAnsi" w:eastAsiaTheme="majorEastAsia" w:hAnsiTheme="minorHAnsi" w:cstheme="majorBidi"/>
      <w:i/>
      <w:iCs/>
      <w:color w:val="272727" w:themeColor="text1" w:themeTint="D8"/>
      <w:kern w:val="2"/>
      <w:lang w:val="lt-LT" w:eastAsia="en-US"/>
      <w14:ligatures w14:val="standardContextual"/>
    </w:rPr>
  </w:style>
  <w:style w:type="paragraph" w:styleId="Antrat9">
    <w:name w:val="heading 9"/>
    <w:basedOn w:val="prastasis"/>
    <w:next w:val="prastasis"/>
    <w:link w:val="Antrat9Diagrama"/>
    <w:uiPriority w:val="9"/>
    <w:semiHidden/>
    <w:unhideWhenUsed/>
    <w:qFormat/>
    <w:rsid w:val="00837EBE"/>
    <w:pPr>
      <w:keepNext/>
      <w:keepLines/>
      <w:pBdr>
        <w:top w:val="none" w:sz="0" w:space="0" w:color="auto"/>
        <w:left w:val="none" w:sz="0" w:space="0" w:color="auto"/>
        <w:bottom w:val="none" w:sz="0" w:space="0" w:color="auto"/>
        <w:right w:val="none" w:sz="0" w:space="0" w:color="auto"/>
      </w:pBdr>
      <w:suppressAutoHyphens w:val="0"/>
      <w:spacing w:line="278" w:lineRule="auto"/>
      <w:outlineLvl w:val="8"/>
    </w:pPr>
    <w:rPr>
      <w:rFonts w:asciiTheme="minorHAnsi" w:eastAsiaTheme="majorEastAsia" w:hAnsiTheme="minorHAnsi" w:cstheme="majorBidi"/>
      <w:color w:val="272727" w:themeColor="text1" w:themeTint="D8"/>
      <w:kern w:val="2"/>
      <w:lang w:val="lt-LT"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37EB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837EB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837EB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837EB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837EB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837EB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37EB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37EB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37EBE"/>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37EBE"/>
    <w:pPr>
      <w:pBdr>
        <w:top w:val="none" w:sz="0" w:space="0" w:color="auto"/>
        <w:left w:val="none" w:sz="0" w:space="0" w:color="auto"/>
        <w:bottom w:val="none" w:sz="0" w:space="0" w:color="auto"/>
        <w:right w:val="none" w:sz="0" w:space="0" w:color="auto"/>
      </w:pBdr>
      <w:suppressAutoHyphens w:val="0"/>
      <w:spacing w:after="80"/>
      <w:contextualSpacing/>
    </w:pPr>
    <w:rPr>
      <w:rFonts w:asciiTheme="majorHAnsi" w:eastAsiaTheme="majorEastAsia" w:hAnsiTheme="majorHAnsi" w:cstheme="majorBidi"/>
      <w:spacing w:val="-10"/>
      <w:kern w:val="28"/>
      <w:sz w:val="56"/>
      <w:szCs w:val="56"/>
      <w:lang w:val="lt-LT" w:eastAsia="en-US"/>
      <w14:ligatures w14:val="standardContextual"/>
    </w:rPr>
  </w:style>
  <w:style w:type="character" w:customStyle="1" w:styleId="PavadinimasDiagrama">
    <w:name w:val="Pavadinimas Diagrama"/>
    <w:basedOn w:val="Numatytasispastraiposriftas"/>
    <w:link w:val="Pavadinimas"/>
    <w:uiPriority w:val="10"/>
    <w:rsid w:val="00837EBE"/>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37EBE"/>
    <w:pPr>
      <w:numPr>
        <w:ilvl w:val="1"/>
      </w:numPr>
      <w:pBdr>
        <w:top w:val="none" w:sz="0" w:space="0" w:color="auto"/>
        <w:left w:val="none" w:sz="0" w:space="0" w:color="auto"/>
        <w:bottom w:val="none" w:sz="0" w:space="0" w:color="auto"/>
        <w:right w:val="none" w:sz="0" w:space="0" w:color="auto"/>
      </w:pBd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lt-LT" w:eastAsia="en-US"/>
      <w14:ligatures w14:val="standardContextual"/>
    </w:rPr>
  </w:style>
  <w:style w:type="character" w:customStyle="1" w:styleId="PaantratDiagrama">
    <w:name w:val="Paantraštė Diagrama"/>
    <w:basedOn w:val="Numatytasispastraiposriftas"/>
    <w:link w:val="Paantrat"/>
    <w:uiPriority w:val="11"/>
    <w:rsid w:val="00837EB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37EBE"/>
    <w:pPr>
      <w:pBdr>
        <w:top w:val="none" w:sz="0" w:space="0" w:color="auto"/>
        <w:left w:val="none" w:sz="0" w:space="0" w:color="auto"/>
        <w:bottom w:val="none" w:sz="0" w:space="0" w:color="auto"/>
        <w:right w:val="none" w:sz="0" w:space="0" w:color="auto"/>
      </w:pBdr>
      <w:suppressAutoHyphens w:val="0"/>
      <w:spacing w:before="160" w:after="160" w:line="278" w:lineRule="auto"/>
      <w:jc w:val="center"/>
    </w:pPr>
    <w:rPr>
      <w:rFonts w:asciiTheme="minorHAnsi" w:eastAsiaTheme="minorHAnsi" w:hAnsiTheme="minorHAnsi" w:cstheme="minorBidi"/>
      <w:i/>
      <w:iCs/>
      <w:color w:val="404040" w:themeColor="text1" w:themeTint="BF"/>
      <w:kern w:val="2"/>
      <w:lang w:val="lt-LT" w:eastAsia="en-US"/>
      <w14:ligatures w14:val="standardContextual"/>
    </w:rPr>
  </w:style>
  <w:style w:type="character" w:customStyle="1" w:styleId="CitataDiagrama">
    <w:name w:val="Citata Diagrama"/>
    <w:basedOn w:val="Numatytasispastraiposriftas"/>
    <w:link w:val="Citata"/>
    <w:uiPriority w:val="29"/>
    <w:rsid w:val="00837EBE"/>
    <w:rPr>
      <w:i/>
      <w:iCs/>
      <w:color w:val="404040" w:themeColor="text1" w:themeTint="BF"/>
    </w:rPr>
  </w:style>
  <w:style w:type="paragraph" w:styleId="Sraopastraipa">
    <w:name w:val="List Paragraph"/>
    <w:basedOn w:val="prastasis"/>
    <w:uiPriority w:val="34"/>
    <w:qFormat/>
    <w:rsid w:val="00837EBE"/>
    <w:pPr>
      <w:pBdr>
        <w:top w:val="none" w:sz="0" w:space="0" w:color="auto"/>
        <w:left w:val="none" w:sz="0" w:space="0" w:color="auto"/>
        <w:bottom w:val="none" w:sz="0" w:space="0" w:color="auto"/>
        <w:right w:val="none" w:sz="0" w:space="0" w:color="auto"/>
      </w:pBdr>
      <w:suppressAutoHyphens w:val="0"/>
      <w:spacing w:after="160" w:line="278" w:lineRule="auto"/>
      <w:ind w:left="720"/>
      <w:contextualSpacing/>
    </w:pPr>
    <w:rPr>
      <w:rFonts w:asciiTheme="minorHAnsi" w:eastAsiaTheme="minorHAnsi" w:hAnsiTheme="minorHAnsi" w:cstheme="minorBidi"/>
      <w:kern w:val="2"/>
      <w:lang w:val="lt-LT" w:eastAsia="en-US"/>
      <w14:ligatures w14:val="standardContextual"/>
    </w:rPr>
  </w:style>
  <w:style w:type="character" w:styleId="Rykuspabraukimas">
    <w:name w:val="Intense Emphasis"/>
    <w:basedOn w:val="Numatytasispastraiposriftas"/>
    <w:uiPriority w:val="21"/>
    <w:qFormat/>
    <w:rsid w:val="00837EBE"/>
    <w:rPr>
      <w:i/>
      <w:iCs/>
      <w:color w:val="0F4761" w:themeColor="accent1" w:themeShade="BF"/>
    </w:rPr>
  </w:style>
  <w:style w:type="paragraph" w:styleId="Iskirtacitata">
    <w:name w:val="Intense Quote"/>
    <w:basedOn w:val="prastasis"/>
    <w:next w:val="prastasis"/>
    <w:link w:val="IskirtacitataDiagrama"/>
    <w:uiPriority w:val="30"/>
    <w:qFormat/>
    <w:rsid w:val="00837EBE"/>
    <w:pPr>
      <w:pBdr>
        <w:top w:val="single" w:sz="4" w:space="10" w:color="0F4761" w:themeColor="accent1" w:themeShade="BF"/>
        <w:left w:val="none" w:sz="0" w:space="0" w:color="auto"/>
        <w:bottom w:val="single" w:sz="4" w:space="10" w:color="0F4761" w:themeColor="accent1" w:themeShade="BF"/>
        <w:right w:val="none" w:sz="0" w:space="0" w:color="auto"/>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lang w:val="lt-LT" w:eastAsia="en-US"/>
      <w14:ligatures w14:val="standardContextual"/>
    </w:rPr>
  </w:style>
  <w:style w:type="character" w:customStyle="1" w:styleId="IskirtacitataDiagrama">
    <w:name w:val="Išskirta citata Diagrama"/>
    <w:basedOn w:val="Numatytasispastraiposriftas"/>
    <w:link w:val="Iskirtacitata"/>
    <w:uiPriority w:val="30"/>
    <w:rsid w:val="00837EBE"/>
    <w:rPr>
      <w:i/>
      <w:iCs/>
      <w:color w:val="0F4761" w:themeColor="accent1" w:themeShade="BF"/>
    </w:rPr>
  </w:style>
  <w:style w:type="character" w:styleId="Rykinuoroda">
    <w:name w:val="Intense Reference"/>
    <w:basedOn w:val="Numatytasispastraiposriftas"/>
    <w:uiPriority w:val="32"/>
    <w:qFormat/>
    <w:rsid w:val="00837EB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2015</Words>
  <Characters>1150</Characters>
  <Application>Microsoft Office Word</Application>
  <DocSecurity>0</DocSecurity>
  <Lines>9</Lines>
  <Paragraphs>6</Paragraphs>
  <ScaleCrop>false</ScaleCrop>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Barauskienė</dc:creator>
  <cp:keywords/>
  <dc:description/>
  <cp:lastModifiedBy>Elena Barauskienė</cp:lastModifiedBy>
  <cp:revision>7</cp:revision>
  <dcterms:created xsi:type="dcterms:W3CDTF">2025-01-22T09:57:00Z</dcterms:created>
  <dcterms:modified xsi:type="dcterms:W3CDTF">2025-01-27T11:56:00Z</dcterms:modified>
</cp:coreProperties>
</file>